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B1F33"/>
          <w:sz w:val="64"/>
        </w:rPr>
        <w:t>TASKMATEHUB</w:t>
      </w:r>
    </w:p>
    <w:p>
      <w:pPr>
        <w:jc w:val="center"/>
      </w:pPr>
      <w:r>
        <w:rPr>
          <w:b/>
          <w:color w:val="1264A3"/>
          <w:sz w:val="22"/>
        </w:rPr>
        <w:t>AI  |  DIGITAL TRANSFORMATION  |  DATA  |  INNOVATION</w:t>
      </w:r>
    </w:p>
    <w:p>
      <w:pPr>
        <w:jc w:val="center"/>
      </w:pPr>
      <w:r>
        <w:rPr>
          <w:b/>
          <w:sz w:val="40"/>
        </w:rPr>
        <w:t>CORPORATE CAPABILITY STATEMENT</w:t>
      </w:r>
    </w:p>
    <w:p>
      <w:pPr>
        <w:jc w:val="center"/>
      </w:pPr>
      <w:r>
        <w:rPr>
          <w:i/>
        </w:rPr>
        <w:t>Research-informed. Industry-focused. Africa-relevant. Results-driven.</w:t>
      </w:r>
    </w:p>
    <w:p>
      <w:pPr>
        <w:jc w:val="center"/>
      </w:pPr>
      <w:r>
        <w:t>Taskmatehub helps organizations harness artificial intelligence, data and digital technologies to transform operations, strengthen decision-making, manage emerging risks and build future-ready capabilities.</w:t>
      </w:r>
    </w:p>
    <w:p>
      <w:pPr>
        <w:pStyle w:val="Heading1"/>
      </w:pPr>
      <w:r>
        <w:t>Who We Are</w:t>
      </w:r>
    </w:p>
    <w:p>
      <w:r>
        <w:t>Taskmatehub is a technology, advisory, professional-development and applied-research company. We combine technology expertise, research insight and capability development to help institutions move from digital ambition to practical implementation.</w:t>
      </w:r>
    </w:p>
    <w:p>
      <w:pPr>
        <w:pStyle w:val="Heading1"/>
      </w:pPr>
      <w:r>
        <w:t>Core Capabilities</w:t>
      </w:r>
    </w:p>
    <w:tbl>
      <w:tblPr>
        <w:tblStyle w:val="TableGrid"/>
        <w:tblW w:type="auto" w:w="0"/>
        <w:jc w:val="center"/>
        <w:tblLook w:firstColumn="1" w:firstRow="1" w:lastColumn="0" w:lastRow="0" w:noHBand="0" w:noVBand="1" w:val="04A0"/>
      </w:tblPr>
      <w:tblGrid>
        <w:gridCol w:w="5083"/>
        <w:gridCol w:w="5083"/>
      </w:tblGrid>
      <w:tr>
        <w:tc>
          <w:tcPr>
            <w:tcW w:type="dxa" w:w="5083"/>
          </w:tcPr>
          <w:p>
            <w:pPr>
              <w:spacing w:after="0"/>
            </w:pPr>
            <w:r>
              <w:rPr>
                <w:sz w:val="17"/>
              </w:rPr>
              <w:t>Capability</w:t>
            </w:r>
          </w:p>
        </w:tc>
        <w:tc>
          <w:tcPr>
            <w:tcW w:type="dxa" w:w="5083"/>
          </w:tcPr>
          <w:p>
            <w:pPr>
              <w:spacing w:after="0"/>
            </w:pPr>
            <w:r>
              <w:rPr>
                <w:sz w:val="17"/>
              </w:rPr>
              <w:t>What We Provide</w:t>
            </w:r>
          </w:p>
        </w:tc>
      </w:tr>
      <w:tr>
        <w:tc>
          <w:tcPr>
            <w:tcW w:type="dxa" w:w="5083"/>
            <w:vAlign w:val="top"/>
          </w:tcPr>
          <w:p>
            <w:pPr>
              <w:spacing w:after="0"/>
            </w:pPr>
            <w:r>
              <w:rPr>
                <w:sz w:val="17"/>
              </w:rPr>
              <w:t>Technology Consulting &amp; Advisory</w:t>
            </w:r>
          </w:p>
        </w:tc>
        <w:tc>
          <w:tcPr>
            <w:tcW w:type="dxa" w:w="5083"/>
            <w:vAlign w:val="top"/>
          </w:tcPr>
          <w:p>
            <w:pPr>
              <w:spacing w:after="0"/>
            </w:pPr>
            <w:r>
              <w:rPr>
                <w:sz w:val="17"/>
              </w:rPr>
              <w:t>AI readiness and governance assessments; digital transformation diagnostics; technology strategy and roadmaps; data and analytics advisory.</w:t>
            </w:r>
          </w:p>
        </w:tc>
      </w:tr>
      <w:tr>
        <w:tc>
          <w:tcPr>
            <w:tcW w:type="dxa" w:w="5083"/>
            <w:vAlign w:val="top"/>
          </w:tcPr>
          <w:p>
            <w:pPr>
              <w:spacing w:after="0"/>
            </w:pPr>
            <w:r>
              <w:rPr>
                <w:sz w:val="17"/>
              </w:rPr>
              <w:t>Executive &amp; Professional Training</w:t>
            </w:r>
          </w:p>
        </w:tc>
        <w:tc>
          <w:tcPr>
            <w:tcW w:type="dxa" w:w="5083"/>
            <w:vAlign w:val="top"/>
          </w:tcPr>
          <w:p>
            <w:pPr>
              <w:spacing w:after="0"/>
            </w:pPr>
            <w:r>
              <w:rPr>
                <w:sz w:val="17"/>
              </w:rPr>
              <w:t>AI for executives and managers; responsible AI and governance; digital transformation leadership; fraud analytics; data analytics for decision makers.</w:t>
            </w:r>
          </w:p>
        </w:tc>
      </w:tr>
      <w:tr>
        <w:tc>
          <w:tcPr>
            <w:tcW w:type="dxa" w:w="5083"/>
            <w:vAlign w:val="top"/>
          </w:tcPr>
          <w:p>
            <w:pPr>
              <w:spacing w:after="0"/>
            </w:pPr>
            <w:r>
              <w:rPr>
                <w:sz w:val="17"/>
              </w:rPr>
              <w:t>AI &amp; Data</w:t>
            </w:r>
          </w:p>
        </w:tc>
        <w:tc>
          <w:tcPr>
            <w:tcW w:type="dxa" w:w="5083"/>
            <w:vAlign w:val="top"/>
          </w:tcPr>
          <w:p>
            <w:pPr>
              <w:spacing w:after="0"/>
            </w:pPr>
            <w:r>
              <w:rPr>
                <w:sz w:val="17"/>
              </w:rPr>
              <w:t>AI readiness; responsible AI; analytics maturity; use-case prioritization; implementation support and evaluation.</w:t>
            </w:r>
          </w:p>
        </w:tc>
      </w:tr>
      <w:tr>
        <w:tc>
          <w:tcPr>
            <w:tcW w:type="dxa" w:w="5083"/>
            <w:vAlign w:val="top"/>
          </w:tcPr>
          <w:p>
            <w:pPr>
              <w:spacing w:after="0"/>
            </w:pPr>
            <w:r>
              <w:rPr>
                <w:sz w:val="17"/>
              </w:rPr>
              <w:t>Fraud Analytics &amp; Fintech</w:t>
            </w:r>
          </w:p>
        </w:tc>
        <w:tc>
          <w:tcPr>
            <w:tcW w:type="dxa" w:w="5083"/>
            <w:vAlign w:val="top"/>
          </w:tcPr>
          <w:p>
            <w:pPr>
              <w:spacing w:after="0"/>
            </w:pPr>
            <w:r>
              <w:rPr>
                <w:sz w:val="17"/>
              </w:rPr>
              <w:t>Fraud-analytics readiness; detection-performance review; adaptive fraud analytics; concept-drift monitoring; digital-payment risk; human-in-the-loop decision support.</w:t>
            </w:r>
          </w:p>
        </w:tc>
      </w:tr>
      <w:tr>
        <w:tc>
          <w:tcPr>
            <w:tcW w:type="dxa" w:w="5083"/>
            <w:vAlign w:val="top"/>
          </w:tcPr>
          <w:p>
            <w:pPr>
              <w:spacing w:after="0"/>
            </w:pPr>
            <w:r>
              <w:rPr>
                <w:sz w:val="17"/>
              </w:rPr>
              <w:t>Research &amp; Innovation</w:t>
            </w:r>
          </w:p>
        </w:tc>
        <w:tc>
          <w:tcPr>
            <w:tcW w:type="dxa" w:w="5083"/>
            <w:vAlign w:val="top"/>
          </w:tcPr>
          <w:p>
            <w:pPr>
              <w:spacing w:after="0"/>
            </w:pPr>
            <w:r>
              <w:rPr>
                <w:sz w:val="17"/>
              </w:rPr>
              <w:t>Applied and industry-sponsored research; research partnerships; controlled experimentation; evidence-to-prototype pathways.</w:t>
            </w:r>
          </w:p>
        </w:tc>
      </w:tr>
      <w:tr>
        <w:tc>
          <w:tcPr>
            <w:tcW w:type="dxa" w:w="5083"/>
            <w:vAlign w:val="top"/>
          </w:tcPr>
          <w:p>
            <w:pPr>
              <w:spacing w:after="0"/>
            </w:pPr>
            <w:r>
              <w:rPr>
                <w:sz w:val="17"/>
              </w:rPr>
              <w:t>Digital Academy</w:t>
            </w:r>
          </w:p>
        </w:tc>
        <w:tc>
          <w:tcPr>
            <w:tcW w:type="dxa" w:w="5083"/>
            <w:vAlign w:val="top"/>
          </w:tcPr>
          <w:p>
            <w:pPr>
              <w:spacing w:after="0"/>
            </w:pPr>
            <w:r>
              <w:rPr>
                <w:sz w:val="17"/>
              </w:rPr>
              <w:t>Self-paced learning, facilitated cohorts, corporate learning and blended professional-development programmes.</w:t>
            </w:r>
          </w:p>
        </w:tc>
      </w:tr>
    </w:tbl>
    <w:p>
      <w:pPr>
        <w:pStyle w:val="Heading1"/>
      </w:pPr>
      <w:r>
        <w:t>Who We Serve</w:t>
      </w:r>
    </w:p>
    <w:p>
      <w:r>
        <w:t>Banks and financial institutions • Fintech and payment companies • SACCOs and microfinance institutions • Universities and research institutions • Government and public institutions • Professional bodies • Development organizations • Medium and large enterprises</w:t>
      </w:r>
    </w:p>
    <w:p>
      <w:pPr>
        <w:pStyle w:val="Heading1"/>
      </w:pPr>
      <w:r>
        <w:t>How We Work</w:t>
      </w:r>
    </w:p>
    <w:p>
      <w:r>
        <w:t>DIAGNOSE → DESIGN → DEVELOP → DELIVER → MEASURE</w:t>
      </w:r>
    </w:p>
    <w:p>
      <w:r>
        <w:t>We begin with the institutional problem and context—not with a technology product. Engagements can start with a focused diagnostic, executive workshop or scoped advisory assignment and expand only where the evidence supports further work.</w:t>
      </w:r>
    </w:p>
    <w:p>
      <w:pPr>
        <w:pStyle w:val="Heading1"/>
      </w:pPr>
      <w:r>
        <w:t>Research-Informed Fraud Analytics</w:t>
      </w:r>
    </w:p>
    <w:p>
      <w:r>
        <w:t>Taskmatehub’s fraud-analytics capability is informed by research into anomaly detection, concept drift and the evolution of anomalous behaviour in financial transaction streams.</w:t>
      </w:r>
    </w:p>
    <w:p>
      <w:pPr>
        <w:pStyle w:val="Heading2"/>
      </w:pPr>
      <w:r>
        <w:t>Selected research evidence</w:t>
      </w:r>
    </w:p>
    <w:p>
      <w:r>
        <w:t>• “A Drift Adaptive Framework for Detecting and Tracking Evolving Anomalies in Financial Transaction Streams” — Scientific Reports, Nature Portfolio (2026). DOI: 10.1038/s41598-026-70457-x.</w:t>
      </w:r>
    </w:p>
    <w:p>
      <w:r>
        <w:t>• HADA / HADA+ research — hierarchical and adaptive approaches to anomaly detection and evolving anomalous behaviour.</w:t>
      </w:r>
    </w:p>
    <w:p>
      <w:r>
        <w:t>Research concepts are presented as research-derived capability. Commercial deployment, pilots and productization require appropriate validation, intellectual-property review, data governance and implementation controls.</w:t>
      </w:r>
    </w:p>
    <w:p>
      <w:pPr>
        <w:pStyle w:val="Heading1"/>
      </w:pPr>
      <w:r>
        <w:t>Leadership</w:t>
      </w:r>
    </w:p>
    <w:p>
      <w:pPr>
        <w:pStyle w:val="Heading2"/>
      </w:pPr>
      <w:r>
        <w:t>Dr. Francis K. Thiong’o — Founder &amp; Lead Consultant</w:t>
      </w:r>
    </w:p>
    <w:p>
      <w:r>
        <w:t>Technology academic, researcher and institutional leader with experience spanning information technology, higher education, applied AI, fraud analytics, digital transformation and professional capability development. His research interests include anomaly and fraud detection, concept drift and adaptive analytics in financial transaction environments.</w:t>
      </w:r>
    </w:p>
    <w:p>
      <w:pPr>
        <w:pStyle w:val="Heading1"/>
      </w:pPr>
      <w:r>
        <w:t>Why Taskmatehub</w:t>
      </w:r>
    </w:p>
    <w:p>
      <w:r>
        <w:t>Research-informed — evidence before hype.</w:t>
      </w:r>
    </w:p>
    <w:p>
      <w:r>
        <w:t>Industry-focused — technology connected to organizational outcomes.</w:t>
      </w:r>
    </w:p>
    <w:p>
      <w:r>
        <w:t>Africa-relevant — solutions designed with local and regional context in mind.</w:t>
      </w:r>
    </w:p>
    <w:p>
      <w:r>
        <w:t>Responsible — governance, human oversight, privacy and risk are part of technology adoption.</w:t>
      </w:r>
    </w:p>
    <w:p>
      <w:r>
        <w:t>Capability-building — engagements are designed to strengthen internal knowledge, not create unnecessary dependency.</w:t>
      </w:r>
    </w:p>
    <w:p>
      <w:pPr>
        <w:pStyle w:val="Heading1"/>
      </w:pPr>
      <w:r>
        <w:t>Engage Taskmatehub</w:t>
      </w:r>
    </w:p>
    <w:p>
      <w:r>
        <w:t>Typical entry points include an AI Readiness &amp; Governance Assessment, Digital Transformation Diagnostic, Fraud Analytics Readiness Assessment, executive briefing, professional training programme, or scoped research and innovation engagement.</w:t>
      </w:r>
    </w:p>
    <w:p>
      <w:r>
        <w:rPr>
          <w:b/>
        </w:rPr>
        <w:t xml:space="preserve">Website: </w:t>
      </w:r>
      <w:r>
        <w:t>taskmatehub.com</w:t>
      </w:r>
      <w:r>
        <w:rPr>
          <w:b/>
        </w:rPr>
        <w:t xml:space="preserve">    Email: </w:t>
      </w:r>
      <w:r>
        <w:t>info@taskmatehub.com</w:t>
      </w:r>
      <w:r>
        <w:rPr>
          <w:b/>
        </w:rPr>
        <w:t xml:space="preserve">    Location: </w:t>
      </w:r>
      <w:r>
        <w:t>Kenya</w:t>
      </w:r>
    </w:p>
    <w:sectPr w:rsidR="00FC693F" w:rsidRPr="0006063C" w:rsidSect="00034616">
      <w:footerReference w:type="default" r:id="rId9"/>
      <w:pgSz w:w="12240" w:h="15840"/>
      <w:pgMar w:top="720" w:right="1037" w:bottom="720"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B78"/>
        <w:sz w:val="16"/>
      </w:rPr>
      <w:t>Taskmatehub Corporate Capability Statement • 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ptos Display" w:hAnsi="Aptos Display"/>
      <w:b/>
      <w:bCs/>
      <w:color w:val="0B1F33"/>
      <w:sz w:val="3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1264A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B1F3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